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Приказ </w:t>
      </w:r>
      <w:r w:rsidR="000901D3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Государственной службы экологического контроля и охраны окружающей среды </w:t>
      </w:r>
      <w:bookmarkStart w:id="0" w:name="_GoBack"/>
      <w:bookmarkEnd w:id="0"/>
      <w:r>
        <w:rPr>
          <w:rFonts w:ascii="Helvetica" w:hAnsi="Helvetica" w:cs="Helvetica"/>
          <w:b/>
          <w:bCs/>
          <w:color w:val="333333"/>
          <w:sz w:val="21"/>
          <w:szCs w:val="21"/>
        </w:rPr>
        <w:t>Приднестровской Молдавской Республики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создании воспроизводственного участка для сохранения и воспроизводства объектов животного мира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Зарегистрирован Министерством юстиции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Приднестровской Молдавской Республики 7 декабря 2017 г.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Регистрационный № 8048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Законом Приднестровской Молдавской Республики от 29 июня 1998 года № 107-З «О животном мире» (СЗМР 98-3) с изменениями и дополнениями, внесенными законами Приднестровской Молдавской Республики от 25 января 2002 года № 96-ЗИД-III (САЗ 02-4), от 25 января 2002 года № 97-ЗИД-III (САЗ 02-4), от 10 июля 2002 года № 152-ЗИД-III (САЗ 02-28), от 10 марта 2004 года № 394-ЗИД-III (САЗ 04-11), от 13 октября 2010 года № 194-ЗИ-IV (САЗ 10-41), от 25 июля 2013 года № 164-ЗД-V (САЗ 13-29), от 21 января 2014 года № 38-ЗИ-V (САЗ 14-4), Законом Приднестровской Молдавской Республики от 13 октября 2010 года № 193-З-IV «Об охоте и о сохранении охотничьих ресурсов» (САЗ 10-41) с изменениями, внесенными Законом Приднестровской Молдавской Республики от 28 сентября 2013 года № 207-ЗИ-V (САЗ 13-38), Указом Президента Приднестровской Молдавской Республики от 30 ноября 2012 года № 778 «Об утверждении Положения об общедоступных охотничьих угодьях на территории Приднестровской Молдавской Республики и порядке их использования» (САЗ 12-49), Постановлением Правительства Приднестровской Молдавской Республики от 10 августа 2017 года № 200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17-34), в целях рационального использования, сохранения и воспроизводства охотничьих ресурсов и иных объектов животного мира, приказываю: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 xml:space="preserve"> Создать воспроизводственный участок для сохранения и воспроизводства объектов животного мира «Кременчуг» на землях с. Кременчуг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Слободзейского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района площадью 1270 гектаров.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Утвердить схему воспроизводственного участка (прилагается).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Определить границы воспроизводственного участка: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а)</w:t>
      </w:r>
      <w:r>
        <w:rPr>
          <w:rFonts w:ascii="Helvetica" w:hAnsi="Helvetica" w:cs="Helvetica"/>
          <w:color w:val="333333"/>
          <w:sz w:val="21"/>
          <w:szCs w:val="21"/>
        </w:rPr>
        <w:t xml:space="preserve"> северная - от южного берега озера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Лаптура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по грунтовой дороге на запад до оросительного канала и на юг по оросительному каналу до Старого Днестра;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б)</w:t>
      </w:r>
      <w:r>
        <w:rPr>
          <w:rFonts w:ascii="Helvetica" w:hAnsi="Helvetica" w:cs="Helvetica"/>
          <w:color w:val="333333"/>
          <w:sz w:val="21"/>
          <w:szCs w:val="21"/>
        </w:rPr>
        <w:t> южная - государственная граница с республикой Молдова;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в)</w:t>
      </w:r>
      <w:r>
        <w:rPr>
          <w:rFonts w:ascii="Helvetica" w:hAnsi="Helvetica" w:cs="Helvetica"/>
          <w:color w:val="333333"/>
          <w:sz w:val="21"/>
          <w:szCs w:val="21"/>
        </w:rPr>
        <w:t xml:space="preserve"> восточная - грунтовая дорога от озера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Лаптура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до пересечения дороги Кременчуг -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Копанка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от пересечения на запад до грунтовой дороги Кременчуг -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Талмаз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на юг по грунтовой дороге до государственной границы с республикой Молдова;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г)</w:t>
      </w:r>
      <w:r>
        <w:rPr>
          <w:rFonts w:ascii="Helvetica" w:hAnsi="Helvetica" w:cs="Helvetica"/>
          <w:color w:val="333333"/>
          <w:sz w:val="21"/>
          <w:szCs w:val="21"/>
        </w:rPr>
        <w:t> западная - Старый Днестр.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4.</w:t>
      </w:r>
      <w:r>
        <w:rPr>
          <w:rFonts w:ascii="Helvetica" w:hAnsi="Helvetica" w:cs="Helvetica"/>
          <w:color w:val="333333"/>
          <w:sz w:val="21"/>
          <w:szCs w:val="21"/>
        </w:rPr>
        <w:t> Запретить проведение спортивной охоты на указанном участке с 15 декабря 2017 года по 31 декабря 2033 года включительно.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5.</w:t>
      </w:r>
      <w:r>
        <w:rPr>
          <w:rFonts w:ascii="Helvetica" w:hAnsi="Helvetica" w:cs="Helvetica"/>
          <w:color w:val="333333"/>
          <w:sz w:val="21"/>
          <w:szCs w:val="21"/>
        </w:rPr>
        <w:t> Направить настоящий Приказ на государственную регистрацию в Министерство юстиции Приднестровской Молдавской Республики.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6.</w:t>
      </w:r>
      <w:r>
        <w:rPr>
          <w:rFonts w:ascii="Helvetica" w:hAnsi="Helvetica" w:cs="Helvetica"/>
          <w:color w:val="333333"/>
          <w:sz w:val="21"/>
          <w:szCs w:val="21"/>
        </w:rPr>
        <w:t> Настоящий Приказ вступает в силу со дня, следующего за днем официального опубликования.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Министр </w:t>
      </w:r>
      <w:r>
        <w:rPr>
          <w:rFonts w:ascii="Helvetica" w:hAnsi="Helvetica" w:cs="Helvetica"/>
          <w:color w:val="333333"/>
          <w:sz w:val="21"/>
          <w:szCs w:val="21"/>
        </w:rPr>
        <w:t>      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Е. Коваль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 ноября 2017 г.</w:t>
      </w:r>
    </w:p>
    <w:p w:rsidR="00DD0144" w:rsidRDefault="00DD0144" w:rsidP="00DD014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231</w:t>
      </w:r>
    </w:p>
    <w:p w:rsidR="00DD0144" w:rsidRDefault="00DD0144"/>
    <w:sectPr w:rsidR="00DD0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713"/>
    <w:rsid w:val="000901D3"/>
    <w:rsid w:val="00442C02"/>
    <w:rsid w:val="00786713"/>
    <w:rsid w:val="00DD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8FEAB"/>
  <w15:chartTrackingRefBased/>
  <w15:docId w15:val="{4B46961B-475C-43B4-BD6F-FF913879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8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3</cp:revision>
  <dcterms:created xsi:type="dcterms:W3CDTF">2024-12-09T11:22:00Z</dcterms:created>
  <dcterms:modified xsi:type="dcterms:W3CDTF">2024-12-09T12:05:00Z</dcterms:modified>
</cp:coreProperties>
</file>